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583B7C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1</w:t>
      </w:r>
      <w:r w:rsidRPr="0009353A">
        <w:rPr>
          <w:b/>
          <w:bCs/>
        </w:rPr>
        <w:t>.01.20</w:t>
      </w:r>
      <w:r>
        <w:rPr>
          <w:b/>
          <w:bCs/>
        </w:rPr>
        <w:t>21</w:t>
      </w:r>
      <w:r w:rsidRPr="0009353A">
        <w:rPr>
          <w:b/>
          <w:bCs/>
        </w:rPr>
        <w:t>г</w:t>
      </w:r>
      <w:r>
        <w:rPr>
          <w:b/>
          <w:bCs/>
        </w:rPr>
        <w:t>.</w:t>
      </w:r>
      <w:r w:rsidR="00C2266E">
        <w:rPr>
          <w:b/>
          <w:bCs/>
        </w:rPr>
        <w:t xml:space="preserve">, </w:t>
      </w:r>
      <w:r w:rsidR="001514B4">
        <w:rPr>
          <w:b/>
          <w:bCs/>
        </w:rPr>
        <w:t>25.</w:t>
      </w:r>
      <w:r w:rsidR="00C2266E">
        <w:rPr>
          <w:b/>
          <w:bCs/>
        </w:rPr>
        <w:t>02.2021 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C2266E">
        <w:rPr>
          <w:sz w:val="26"/>
          <w:szCs w:val="26"/>
        </w:rPr>
        <w:t>40539633,11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C2266E">
        <w:rPr>
          <w:sz w:val="26"/>
          <w:szCs w:val="26"/>
        </w:rPr>
        <w:t>40</w:t>
      </w:r>
      <w:r w:rsidR="001514B4">
        <w:rPr>
          <w:sz w:val="26"/>
          <w:szCs w:val="26"/>
        </w:rPr>
        <w:t>61</w:t>
      </w:r>
      <w:r w:rsidR="00C2266E">
        <w:rPr>
          <w:sz w:val="26"/>
          <w:szCs w:val="26"/>
        </w:rPr>
        <w:t>2995,53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1514B4">
        <w:rPr>
          <w:sz w:val="26"/>
          <w:szCs w:val="26"/>
        </w:rPr>
        <w:t>7</w:t>
      </w:r>
      <w:r w:rsidR="00C2266E">
        <w:rPr>
          <w:sz w:val="26"/>
          <w:szCs w:val="26"/>
        </w:rPr>
        <w:t>3362,42</w:t>
      </w:r>
      <w:r w:rsidRPr="00E835C1">
        <w:rPr>
          <w:sz w:val="26"/>
          <w:szCs w:val="26"/>
        </w:rPr>
        <w:t xml:space="preserve">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583B7C">
        <w:rPr>
          <w:sz w:val="26"/>
          <w:szCs w:val="26"/>
        </w:rPr>
        <w:t>131</w:t>
      </w:r>
      <w:r w:rsidR="00C2266E">
        <w:rPr>
          <w:sz w:val="26"/>
          <w:szCs w:val="26"/>
        </w:rPr>
        <w:t>10153</w:t>
      </w:r>
      <w:r w:rsidR="00583B7C">
        <w:rPr>
          <w:sz w:val="26"/>
          <w:szCs w:val="26"/>
        </w:rPr>
        <w:t>,</w:t>
      </w:r>
      <w:r w:rsidR="00C2266E">
        <w:rPr>
          <w:sz w:val="26"/>
          <w:szCs w:val="26"/>
        </w:rPr>
        <w:t>11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 xml:space="preserve">2764211,68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</w:t>
      </w:r>
      <w:r w:rsidRPr="00EA49E9">
        <w:rPr>
          <w:szCs w:val="28"/>
        </w:rPr>
        <w:lastRenderedPageBreak/>
        <w:t xml:space="preserve">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7A5B02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29480,00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lastRenderedPageBreak/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 w:rsidP="00151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514B4">
              <w:rPr>
                <w:sz w:val="24"/>
                <w:szCs w:val="24"/>
              </w:rPr>
              <w:t>11015</w:t>
            </w:r>
            <w:r>
              <w:rPr>
                <w:sz w:val="24"/>
                <w:szCs w:val="24"/>
              </w:rPr>
              <w:t>3,</w:t>
            </w:r>
            <w:r w:rsidR="001514B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83B7C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32</w:t>
            </w:r>
            <w:r w:rsidR="00583B7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 xml:space="preserve">ям многоквартирных домов </w:t>
            </w:r>
            <w:r w:rsidRPr="00EA4976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lastRenderedPageBreak/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lastRenderedPageBreak/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2536793,0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924 2 02 03015 13 0000 15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4B4" w:rsidRPr="00EA4976" w:rsidRDefault="001514B4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40539633,11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4B4" w:rsidRPr="00EA4976" w:rsidRDefault="001514B4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lastRenderedPageBreak/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514B4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1514B4">
              <w:rPr>
                <w:color w:val="000000"/>
                <w:sz w:val="24"/>
                <w:szCs w:val="24"/>
              </w:rPr>
              <w:t>-73362,42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514B4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1514B4">
              <w:rPr>
                <w:color w:val="000000"/>
                <w:sz w:val="24"/>
                <w:szCs w:val="24"/>
              </w:rPr>
              <w:t>-73362,42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514B4">
              <w:rPr>
                <w:color w:val="000000"/>
                <w:sz w:val="24"/>
                <w:szCs w:val="24"/>
              </w:rPr>
              <w:t>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1514B4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514B4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514B4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1514B4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40612995,53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1514B4" w:rsidRPr="00565371" w:rsidTr="001514B4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Default="001514B4" w:rsidP="001514B4">
            <w:pPr>
              <w:jc w:val="center"/>
            </w:pPr>
            <w:r w:rsidRPr="00F76EE8">
              <w:rPr>
                <w:color w:val="000000"/>
                <w:sz w:val="24"/>
                <w:szCs w:val="24"/>
              </w:rPr>
              <w:t>40612995,53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1514B4" w:rsidRPr="00565371" w:rsidTr="001514B4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Default="001514B4" w:rsidP="001514B4">
            <w:pPr>
              <w:jc w:val="center"/>
            </w:pPr>
            <w:r w:rsidRPr="00F76EE8">
              <w:rPr>
                <w:color w:val="000000"/>
                <w:sz w:val="24"/>
                <w:szCs w:val="24"/>
              </w:rPr>
              <w:t>40612995,53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1514B4" w:rsidRPr="00565371" w:rsidTr="001514B4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Default="001514B4" w:rsidP="001514B4">
            <w:pPr>
              <w:jc w:val="center"/>
            </w:pPr>
            <w:r w:rsidRPr="00F76EE8">
              <w:rPr>
                <w:color w:val="000000"/>
                <w:sz w:val="24"/>
                <w:szCs w:val="24"/>
              </w:rPr>
              <w:t>40612995,53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6524A7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1514B4" w:rsidP="00583B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16290188,26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15617510,86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15617510,86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4199194,0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1594453,52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19 740,00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2935191,34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1392263,00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641645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583B7C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583B7C" w:rsidRPr="00887197" w:rsidTr="00583B7C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272 000,00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78391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193609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1656738,43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30 000,00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1476738,43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1476738,43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1476738,43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 xml:space="preserve">циальной поддержки отдельным категориям </w:t>
            </w:r>
            <w:r w:rsidRPr="00887197">
              <w:rPr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887197" w:rsidRPr="00887197" w:rsidTr="00583B7C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 w:rsidR="00426626"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</w:t>
            </w:r>
            <w:bookmarkStart w:id="0" w:name="_GoBack"/>
            <w:bookmarkEnd w:id="0"/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583B7C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45 570,00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138 000,00</w:t>
            </w:r>
          </w:p>
        </w:tc>
      </w:tr>
      <w:tr w:rsidR="00887197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3359327</w:t>
            </w:r>
            <w:r w:rsidR="00887197" w:rsidRPr="0088719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3359327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371 000,00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2983327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>000,00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5 48</w:t>
            </w:r>
            <w:r w:rsidR="00BF64BB">
              <w:rPr>
                <w:b/>
                <w:bCs/>
                <w:sz w:val="24"/>
                <w:szCs w:val="24"/>
              </w:rPr>
              <w:t>5415</w:t>
            </w:r>
            <w:r w:rsidRPr="00887197">
              <w:rPr>
                <w:b/>
                <w:bCs/>
                <w:sz w:val="24"/>
                <w:szCs w:val="24"/>
              </w:rPr>
              <w:t>,</w:t>
            </w:r>
            <w:r w:rsidR="00BF64BB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2865415,34</w:t>
            </w:r>
          </w:p>
        </w:tc>
      </w:tr>
      <w:tr w:rsidR="00785C75" w:rsidRPr="00887197" w:rsidTr="00785C75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2865415,34</w:t>
            </w:r>
          </w:p>
        </w:tc>
      </w:tr>
      <w:tr w:rsidR="00785C75" w:rsidRPr="00887197" w:rsidTr="00EA4976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F64BB">
              <w:rPr>
                <w:sz w:val="24"/>
                <w:szCs w:val="24"/>
              </w:rPr>
              <w:t>7083,34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2 368 332,00</w:t>
            </w:r>
          </w:p>
        </w:tc>
      </w:tr>
      <w:tr w:rsidR="00D742EA" w:rsidRPr="00887197" w:rsidTr="00EA4976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62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3 239 500,00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3 239 500,00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2 000 000,00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730 000,00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225B8D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B312EC" w:rsidP="006915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7508376,50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EA4976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225B8D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риаты, в рамках реализации полномочий Росси</w:t>
            </w:r>
            <w:r w:rsidRPr="00887197">
              <w:rPr>
                <w:sz w:val="24"/>
                <w:szCs w:val="24"/>
              </w:rPr>
              <w:t>й</w:t>
            </w:r>
            <w:r w:rsidRPr="00887197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EA4976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EA4976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282 500,00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1 600,00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312EC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17</w:t>
            </w:r>
            <w:r w:rsidR="00B312EC">
              <w:rPr>
                <w:sz w:val="24"/>
                <w:szCs w:val="24"/>
              </w:rPr>
              <w:t>5</w:t>
            </w:r>
            <w:r w:rsidRPr="006915AE">
              <w:rPr>
                <w:sz w:val="24"/>
                <w:szCs w:val="24"/>
              </w:rPr>
              <w:t>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lastRenderedPageBreak/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B312EC" w:rsidP="00272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40612995,53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39278028,03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540 000,00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497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083,34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2 368 332,00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62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 xml:space="preserve">там недвижимости для постановки на кадастровый учет (Закупка товаров,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371 000,00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282 500,00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1 600,00</w:t>
                  </w:r>
                </w:p>
              </w:tc>
            </w:tr>
            <w:tr w:rsidR="00B312EC" w:rsidRPr="008A0E74" w:rsidTr="005D3392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13BA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03 2 01 20030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13BA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 w:rsidP="004D13BA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2983327,00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лях обеспечения выполнения функций государственными (муниципальными)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5C7D1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1 7</w:t>
                  </w:r>
                  <w:r w:rsidR="005C7D1C">
                    <w:rPr>
                      <w:sz w:val="24"/>
                      <w:szCs w:val="24"/>
                    </w:rPr>
                    <w:t>5</w:t>
                  </w:r>
                  <w:r w:rsidRPr="002A7AD3">
                    <w:rPr>
                      <w:sz w:val="24"/>
                      <w:szCs w:val="24"/>
                    </w:rPr>
                    <w:t>6 300,00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179880,0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45570,0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4199194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5C7D1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15</w:t>
                  </w:r>
                  <w:r w:rsidR="005C7D1C">
                    <w:rPr>
                      <w:sz w:val="24"/>
                      <w:szCs w:val="24"/>
                    </w:rPr>
                    <w:t>94453</w:t>
                  </w:r>
                  <w:r w:rsidRPr="002A7AD3">
                    <w:rPr>
                      <w:sz w:val="24"/>
                      <w:szCs w:val="24"/>
                    </w:rPr>
                    <w:t>,</w:t>
                  </w:r>
                  <w:r w:rsidR="005C7D1C">
                    <w:rPr>
                      <w:sz w:val="24"/>
                      <w:szCs w:val="24"/>
                    </w:rPr>
                    <w:t>52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293519</w:t>
                  </w:r>
                  <w:r w:rsidRPr="002A7AD3">
                    <w:rPr>
                      <w:sz w:val="24"/>
                      <w:szCs w:val="24"/>
                    </w:rPr>
                    <w:t>1,34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1392263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641645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lastRenderedPageBreak/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lastRenderedPageBreak/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370677,40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B312EC" w:rsidRPr="008A0E74" w:rsidTr="002A7AD3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B312EC" w:rsidRPr="008A0E74" w:rsidRDefault="00B312EC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B312EC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B312EC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5C7D1C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1476738,43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>ной суммы долга и уплату процентов по ипотечному жилищному кредиту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B312EC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5C7D1C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78391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5C7D1C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193609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5C7D1C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40612995,53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134"/>
        <w:gridCol w:w="709"/>
        <w:gridCol w:w="1559"/>
        <w:gridCol w:w="1701"/>
      </w:tblGrid>
      <w:tr w:rsidR="00F45EFE" w:rsidRPr="000866DF" w:rsidTr="00A340D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A340DC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A340DC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A340D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A340DC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A340DC">
        <w:trPr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A340D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A340D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A340DC">
        <w:trPr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A340D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A340DC">
        <w:trPr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A340DC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A340DC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A340D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A340DC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A340DC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A340DC">
        <w:trPr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A340DC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A340DC">
        <w:trPr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A340DC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A340DC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A340DC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A340D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A340DC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A340DC">
        <w:trPr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</w:tbl>
    <w:p w:rsidR="00A340DC" w:rsidRDefault="00A340DC">
      <w:r>
        <w:br w:type="page"/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5486"/>
        <w:gridCol w:w="1276"/>
        <w:gridCol w:w="5344"/>
      </w:tblGrid>
      <w:tr w:rsidR="006305F8" w:rsidRPr="006D7FEB" w:rsidTr="00A340DC">
        <w:trPr>
          <w:trHeight w:val="15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559"/>
              <w:gridCol w:w="1558"/>
              <w:gridCol w:w="1549"/>
              <w:gridCol w:w="299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896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7,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586299,00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21767,50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29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6405415,34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6025415,34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13369836,0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660100,00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C7D1C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12519736,0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16290188,26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14902258,26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1662738,43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1626738,43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5C7D1C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40612995,53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A340DC">
        <w:trPr>
          <w:gridAfter w:val="1"/>
          <w:wAfter w:w="5344" w:type="dxa"/>
          <w:trHeight w:val="46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28" w:rsidRDefault="009D0528">
      <w:r>
        <w:separator/>
      </w:r>
    </w:p>
  </w:endnote>
  <w:endnote w:type="continuationSeparator" w:id="0">
    <w:p w:rsidR="009D0528" w:rsidRDefault="009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4" w:rsidRDefault="001514B4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14B4" w:rsidRDefault="001514B4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28" w:rsidRDefault="009D0528">
      <w:r>
        <w:separator/>
      </w:r>
    </w:p>
  </w:footnote>
  <w:footnote w:type="continuationSeparator" w:id="0">
    <w:p w:rsidR="009D0528" w:rsidRDefault="009D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14B4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62F7"/>
    <w:rsid w:val="00206895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21F8"/>
    <w:rsid w:val="005468EF"/>
    <w:rsid w:val="00551581"/>
    <w:rsid w:val="00555BF8"/>
    <w:rsid w:val="0055624D"/>
    <w:rsid w:val="005614DA"/>
    <w:rsid w:val="00565371"/>
    <w:rsid w:val="0056699B"/>
    <w:rsid w:val="0057668C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915AE"/>
    <w:rsid w:val="00696560"/>
    <w:rsid w:val="006A33A0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2674B"/>
    <w:rsid w:val="0092736F"/>
    <w:rsid w:val="00930A8C"/>
    <w:rsid w:val="00930F72"/>
    <w:rsid w:val="00942A64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0528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61BC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266E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357D"/>
    <w:rsid w:val="00E64CB5"/>
    <w:rsid w:val="00E66D49"/>
    <w:rsid w:val="00E7664B"/>
    <w:rsid w:val="00E816AD"/>
    <w:rsid w:val="00E8226B"/>
    <w:rsid w:val="00E835C1"/>
    <w:rsid w:val="00E846F8"/>
    <w:rsid w:val="00E84E6C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7B3F-F395-4F5E-B753-4C7B3B4A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1</Pages>
  <Words>13831</Words>
  <Characters>78841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20</cp:revision>
  <cp:lastPrinted>2020-11-13T09:07:00Z</cp:lastPrinted>
  <dcterms:created xsi:type="dcterms:W3CDTF">2014-10-27T05:26:00Z</dcterms:created>
  <dcterms:modified xsi:type="dcterms:W3CDTF">2021-02-26T12:33:00Z</dcterms:modified>
</cp:coreProperties>
</file>