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Layout w:type="fixed"/>
        <w:tblLook w:val="04A0"/>
      </w:tblPr>
      <w:tblGrid>
        <w:gridCol w:w="3678"/>
        <w:gridCol w:w="2251"/>
        <w:gridCol w:w="3311"/>
      </w:tblGrid>
      <w:tr w:rsidR="002F4A8B" w:rsidTr="002F4A8B">
        <w:trPr>
          <w:trHeight w:val="1335"/>
        </w:trPr>
        <w:tc>
          <w:tcPr>
            <w:tcW w:w="3679" w:type="dxa"/>
          </w:tcPr>
          <w:p w:rsidR="002F4A8B" w:rsidRDefault="002F4A8B">
            <w:pPr>
              <w:snapToGrid w:val="0"/>
              <w:ind w:firstLine="851"/>
              <w:jc w:val="center"/>
              <w:rPr>
                <w:sz w:val="24"/>
              </w:rPr>
            </w:pPr>
          </w:p>
        </w:tc>
        <w:tc>
          <w:tcPr>
            <w:tcW w:w="2252" w:type="dxa"/>
            <w:hideMark/>
          </w:tcPr>
          <w:p w:rsidR="002F4A8B" w:rsidRDefault="002F4A8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2F4A8B" w:rsidRDefault="002F4A8B">
            <w:pPr>
              <w:snapToGrid w:val="0"/>
            </w:pPr>
          </w:p>
        </w:tc>
      </w:tr>
      <w:tr w:rsidR="002F4A8B" w:rsidTr="002F4A8B">
        <w:trPr>
          <w:trHeight w:val="1136"/>
        </w:trPr>
        <w:tc>
          <w:tcPr>
            <w:tcW w:w="9243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F4A8B" w:rsidRDefault="002F4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 ОТДЕЛ</w:t>
            </w:r>
          </w:p>
          <w:p w:rsidR="002F4A8B" w:rsidRDefault="002F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  <w:p w:rsidR="002F4A8B" w:rsidRDefault="002F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155620 п. Палех, ул. Ленина, 1</w:t>
            </w:r>
          </w:p>
          <w:p w:rsidR="002F4A8B" w:rsidRDefault="002F4A8B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тел/факс (09334)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"/>
                <w:attr w:name="Year" w:val="51"/>
              </w:smartTagPr>
              <w:r>
                <w:rPr>
                  <w:sz w:val="28"/>
                  <w:szCs w:val="28"/>
                </w:rPr>
                <w:t>2-11-51</w:t>
              </w:r>
            </w:smartTag>
            <w:r>
              <w:rPr>
                <w:sz w:val="28"/>
                <w:szCs w:val="28"/>
              </w:rPr>
              <w:t xml:space="preserve">, 2-20-73,  </w:t>
            </w: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-mail</w:t>
            </w:r>
            <w:proofErr w:type="spellEnd"/>
            <w:r>
              <w:rPr>
                <w:sz w:val="28"/>
                <w:szCs w:val="28"/>
              </w:rPr>
              <w:t>: palekhfinansy1@rambler.ru</w:t>
            </w:r>
          </w:p>
        </w:tc>
      </w:tr>
    </w:tbl>
    <w:p w:rsidR="00DD1FA8" w:rsidRDefault="005F3822" w:rsidP="00950695">
      <w:pPr>
        <w:rPr>
          <w:rFonts w:ascii="Calibri" w:hAnsi="Calibri"/>
          <w:b/>
          <w:sz w:val="24"/>
          <w:szCs w:val="24"/>
        </w:rPr>
      </w:pPr>
      <w:r w:rsidRPr="005F38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5.2pt;width:430.5pt;height:236.25pt;z-index:251658240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2F4A8B" w:rsidRPr="00F92036" w:rsidRDefault="002F4A8B" w:rsidP="002F4A8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F4A8B" w:rsidRPr="00F92036" w:rsidRDefault="004D75F2" w:rsidP="001277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2036">
                    <w:rPr>
                      <w:b/>
                      <w:sz w:val="28"/>
                      <w:szCs w:val="28"/>
                    </w:rPr>
                    <w:t xml:space="preserve">ПРИКАЗ № </w:t>
                  </w:r>
                  <w:r w:rsidR="00F92036" w:rsidRPr="00F92036">
                    <w:rPr>
                      <w:b/>
                      <w:sz w:val="28"/>
                      <w:szCs w:val="28"/>
                    </w:rPr>
                    <w:t>42</w:t>
                  </w:r>
                </w:p>
                <w:p w:rsidR="004D75F2" w:rsidRPr="00F92036" w:rsidRDefault="004D75F2" w:rsidP="0012771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2036">
                    <w:rPr>
                      <w:b/>
                      <w:sz w:val="28"/>
                      <w:szCs w:val="28"/>
                    </w:rPr>
                    <w:t>по Финансовому отделу администрации</w:t>
                  </w:r>
                </w:p>
                <w:p w:rsidR="004D75F2" w:rsidRPr="00F92036" w:rsidRDefault="004D75F2" w:rsidP="0012771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2036">
                    <w:rPr>
                      <w:b/>
                      <w:sz w:val="28"/>
                      <w:szCs w:val="28"/>
                    </w:rPr>
                    <w:t>Палехского муниципального района</w:t>
                  </w:r>
                </w:p>
                <w:p w:rsidR="002F4A8B" w:rsidRPr="00F92036" w:rsidRDefault="00042E47" w:rsidP="0012771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4D75F2" w:rsidRPr="00F92036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F92036" w:rsidRPr="00F92036">
                    <w:rPr>
                      <w:b/>
                      <w:sz w:val="28"/>
                      <w:szCs w:val="28"/>
                    </w:rPr>
                    <w:t>23 сентября</w:t>
                  </w:r>
                  <w:r w:rsidR="004D75F2" w:rsidRPr="00F92036">
                    <w:rPr>
                      <w:b/>
                      <w:sz w:val="28"/>
                      <w:szCs w:val="28"/>
                    </w:rPr>
                    <w:t xml:space="preserve"> 2011г</w:t>
                  </w:r>
                </w:p>
                <w:p w:rsidR="009B0F13" w:rsidRPr="00F92036" w:rsidRDefault="004D75F2" w:rsidP="00042E47">
                  <w:pPr>
                    <w:spacing w:before="240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92036">
                    <w:rPr>
                      <w:b/>
                      <w:sz w:val="28"/>
                      <w:szCs w:val="28"/>
                    </w:rPr>
                    <w:t>О внесении изменений в Приказ финансового отдела  администрации Палехского муниципального района  от 17.02.2011г №10 «Об утверждении Порядка составления и ведения сводной бюджетной росписи бюджета Палехского</w:t>
                  </w:r>
                  <w:r w:rsidR="009B0F13" w:rsidRPr="00F92036">
                    <w:rPr>
                      <w:b/>
                      <w:sz w:val="28"/>
                      <w:szCs w:val="28"/>
                    </w:rPr>
                    <w:t xml:space="preserve"> муниципального района и бюджетных росписей главных распорядителей средств бюджета Палехского муниципального района (главных администраторов источников внутреннего финансирования дефицита бюджета Палехского муниципального района) на 2011год»</w:t>
                  </w:r>
                </w:p>
                <w:p w:rsidR="009B0F13" w:rsidRDefault="009B0F13" w:rsidP="00042E47">
                  <w:pPr>
                    <w:spacing w:before="240"/>
                    <w:ind w:firstLine="709"/>
                    <w:jc w:val="both"/>
                    <w:rPr>
                      <w:sz w:val="24"/>
                      <w:szCs w:val="29"/>
                    </w:rPr>
                  </w:pPr>
                </w:p>
                <w:p w:rsidR="004D75F2" w:rsidRDefault="009B0F13" w:rsidP="009B0F13">
                  <w:pPr>
                    <w:spacing w:before="240"/>
                    <w:jc w:val="center"/>
                    <w:rPr>
                      <w:sz w:val="24"/>
                      <w:szCs w:val="29"/>
                    </w:rPr>
                  </w:pPr>
                  <w:r>
                    <w:rPr>
                      <w:sz w:val="24"/>
                      <w:szCs w:val="29"/>
                    </w:rPr>
                    <w:t xml:space="preserve"> </w:t>
                  </w:r>
                </w:p>
                <w:p w:rsidR="009B0F13" w:rsidRDefault="009B0F13" w:rsidP="009B0F13">
                  <w:pPr>
                    <w:spacing w:before="240"/>
                    <w:jc w:val="center"/>
                    <w:rPr>
                      <w:sz w:val="24"/>
                      <w:szCs w:val="29"/>
                    </w:rPr>
                  </w:pPr>
                </w:p>
                <w:p w:rsidR="009B0F13" w:rsidRDefault="009B0F13" w:rsidP="009B0F13">
                  <w:pPr>
                    <w:spacing w:before="240"/>
                    <w:jc w:val="center"/>
                    <w:rPr>
                      <w:sz w:val="24"/>
                      <w:szCs w:val="29"/>
                    </w:rPr>
                  </w:pPr>
                </w:p>
                <w:p w:rsidR="009B0F13" w:rsidRDefault="009B0F13" w:rsidP="009B0F13">
                  <w:pPr>
                    <w:spacing w:before="240"/>
                    <w:jc w:val="center"/>
                    <w:rPr>
                      <w:sz w:val="24"/>
                      <w:szCs w:val="29"/>
                    </w:rPr>
                  </w:pPr>
                </w:p>
              </w:txbxContent>
            </v:textbox>
          </v:shape>
        </w:pict>
      </w:r>
      <w:r w:rsidR="002F4A8B">
        <w:rPr>
          <w:rFonts w:ascii="Calibri" w:hAnsi="Calibri"/>
          <w:b/>
          <w:sz w:val="24"/>
          <w:szCs w:val="24"/>
        </w:rPr>
        <w:t xml:space="preserve">                                              </w:t>
      </w:r>
    </w:p>
    <w:p w:rsidR="00DD1FA8" w:rsidRDefault="00DD1FA8" w:rsidP="00950695">
      <w:pPr>
        <w:rPr>
          <w:rFonts w:ascii="Calibri" w:hAnsi="Calibri"/>
          <w:b/>
          <w:sz w:val="24"/>
          <w:szCs w:val="24"/>
        </w:rPr>
      </w:pPr>
    </w:p>
    <w:p w:rsidR="00950695" w:rsidRPr="00DD1FA8" w:rsidRDefault="00950695" w:rsidP="00950695">
      <w:pPr>
        <w:rPr>
          <w:b/>
          <w:sz w:val="24"/>
          <w:szCs w:val="24"/>
        </w:rPr>
      </w:pPr>
    </w:p>
    <w:p w:rsidR="00950695" w:rsidRDefault="00950695" w:rsidP="00950695">
      <w:pPr>
        <w:rPr>
          <w:rFonts w:ascii="Calibri" w:hAnsi="Calibri"/>
          <w:b/>
          <w:sz w:val="24"/>
          <w:szCs w:val="24"/>
        </w:rPr>
      </w:pPr>
    </w:p>
    <w:p w:rsidR="00950695" w:rsidRDefault="00950695" w:rsidP="00950695">
      <w:pPr>
        <w:rPr>
          <w:rFonts w:ascii="Calibri" w:hAnsi="Calibri"/>
          <w:b/>
          <w:sz w:val="24"/>
          <w:szCs w:val="24"/>
        </w:rPr>
      </w:pPr>
    </w:p>
    <w:p w:rsidR="00DD1FA8" w:rsidRDefault="00DD1FA8" w:rsidP="00F2221D">
      <w:pPr>
        <w:jc w:val="center"/>
        <w:rPr>
          <w:sz w:val="28"/>
          <w:szCs w:val="28"/>
        </w:rPr>
      </w:pPr>
    </w:p>
    <w:p w:rsidR="009B0F13" w:rsidRPr="009B0F13" w:rsidRDefault="009B0F13" w:rsidP="009B0F13">
      <w:pPr>
        <w:rPr>
          <w:sz w:val="28"/>
          <w:szCs w:val="28"/>
        </w:rPr>
      </w:pPr>
    </w:p>
    <w:p w:rsidR="009B0F13" w:rsidRPr="009B0F13" w:rsidRDefault="009B0F13" w:rsidP="009B0F13">
      <w:pPr>
        <w:rPr>
          <w:sz w:val="28"/>
          <w:szCs w:val="28"/>
        </w:rPr>
      </w:pPr>
    </w:p>
    <w:p w:rsidR="009B0F13" w:rsidRDefault="009B0F13" w:rsidP="009B0F13">
      <w:pPr>
        <w:rPr>
          <w:sz w:val="28"/>
          <w:szCs w:val="28"/>
        </w:rPr>
      </w:pPr>
    </w:p>
    <w:p w:rsidR="009B0F13" w:rsidRDefault="009B0F13" w:rsidP="009B0F13">
      <w:pPr>
        <w:rPr>
          <w:sz w:val="28"/>
          <w:szCs w:val="28"/>
        </w:rPr>
      </w:pPr>
    </w:p>
    <w:p w:rsidR="00F92036" w:rsidRDefault="009B0F13" w:rsidP="00676AB7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92036" w:rsidRDefault="00F92036" w:rsidP="00676AB7">
      <w:pPr>
        <w:tabs>
          <w:tab w:val="left" w:pos="3705"/>
        </w:tabs>
        <w:jc w:val="both"/>
        <w:rPr>
          <w:sz w:val="24"/>
          <w:szCs w:val="24"/>
        </w:rPr>
      </w:pPr>
    </w:p>
    <w:p w:rsidR="00F92036" w:rsidRDefault="00F92036" w:rsidP="00676AB7">
      <w:pPr>
        <w:tabs>
          <w:tab w:val="left" w:pos="3705"/>
        </w:tabs>
        <w:jc w:val="both"/>
        <w:rPr>
          <w:sz w:val="24"/>
          <w:szCs w:val="24"/>
        </w:rPr>
      </w:pPr>
    </w:p>
    <w:p w:rsidR="0012771A" w:rsidRDefault="009B0F13" w:rsidP="00676AB7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71A" w:rsidRDefault="0012771A" w:rsidP="00676AB7">
      <w:pPr>
        <w:tabs>
          <w:tab w:val="left" w:pos="3705"/>
        </w:tabs>
        <w:jc w:val="both"/>
        <w:rPr>
          <w:sz w:val="24"/>
          <w:szCs w:val="24"/>
        </w:rPr>
      </w:pPr>
    </w:p>
    <w:p w:rsidR="0012771A" w:rsidRDefault="0012771A" w:rsidP="00676AB7">
      <w:pPr>
        <w:tabs>
          <w:tab w:val="left" w:pos="3705"/>
        </w:tabs>
        <w:jc w:val="both"/>
        <w:rPr>
          <w:sz w:val="24"/>
          <w:szCs w:val="24"/>
        </w:rPr>
      </w:pPr>
    </w:p>
    <w:p w:rsidR="0012771A" w:rsidRDefault="0012771A" w:rsidP="00676AB7">
      <w:pPr>
        <w:tabs>
          <w:tab w:val="left" w:pos="3705"/>
        </w:tabs>
        <w:jc w:val="both"/>
        <w:rPr>
          <w:sz w:val="24"/>
          <w:szCs w:val="24"/>
        </w:rPr>
      </w:pPr>
    </w:p>
    <w:p w:rsidR="00042E47" w:rsidRDefault="00042E47" w:rsidP="00676AB7">
      <w:pPr>
        <w:tabs>
          <w:tab w:val="left" w:pos="3705"/>
        </w:tabs>
        <w:jc w:val="both"/>
        <w:rPr>
          <w:sz w:val="24"/>
          <w:szCs w:val="24"/>
        </w:rPr>
      </w:pPr>
    </w:p>
    <w:p w:rsidR="00DD1FA8" w:rsidRPr="00F92036" w:rsidRDefault="00042E47" w:rsidP="00676AB7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F13" w:rsidRPr="00F92036">
        <w:rPr>
          <w:sz w:val="28"/>
          <w:szCs w:val="28"/>
        </w:rPr>
        <w:t>Для осуществления учета операций с субсидиями, субвенциями и иными межбюджетными трансфертами, являющимися источником финансового обеспечения расходов бюджета муниципального района,</w:t>
      </w:r>
    </w:p>
    <w:p w:rsidR="009B0F13" w:rsidRPr="00F92036" w:rsidRDefault="009B0F13" w:rsidP="00676AB7">
      <w:pPr>
        <w:tabs>
          <w:tab w:val="left" w:pos="3705"/>
        </w:tabs>
        <w:jc w:val="both"/>
        <w:rPr>
          <w:sz w:val="28"/>
          <w:szCs w:val="28"/>
        </w:rPr>
      </w:pPr>
    </w:p>
    <w:p w:rsidR="009B0F13" w:rsidRPr="00F92036" w:rsidRDefault="009B0F13" w:rsidP="009B0F13">
      <w:pPr>
        <w:tabs>
          <w:tab w:val="left" w:pos="3705"/>
        </w:tabs>
        <w:rPr>
          <w:b/>
          <w:sz w:val="28"/>
          <w:szCs w:val="28"/>
        </w:rPr>
      </w:pPr>
      <w:r w:rsidRPr="00F92036">
        <w:rPr>
          <w:sz w:val="28"/>
          <w:szCs w:val="28"/>
        </w:rPr>
        <w:t xml:space="preserve">     </w:t>
      </w:r>
      <w:r w:rsidRPr="00F92036">
        <w:rPr>
          <w:b/>
          <w:sz w:val="28"/>
          <w:szCs w:val="28"/>
        </w:rPr>
        <w:t>приказываю:</w:t>
      </w:r>
    </w:p>
    <w:p w:rsidR="009B0F13" w:rsidRPr="00F92036" w:rsidRDefault="00A909F3" w:rsidP="00676AB7">
      <w:pPr>
        <w:tabs>
          <w:tab w:val="left" w:pos="3705"/>
        </w:tabs>
        <w:jc w:val="both"/>
        <w:rPr>
          <w:sz w:val="28"/>
          <w:szCs w:val="28"/>
        </w:rPr>
      </w:pPr>
      <w:r w:rsidRPr="00F92036">
        <w:rPr>
          <w:sz w:val="28"/>
          <w:szCs w:val="28"/>
        </w:rPr>
        <w:t xml:space="preserve">     Внести следующие дополнения в Порядок составления и ведения сводной бюджетной росписи бюджета Палехского муниципального района и бюджетных росписей главных распорядителей средств бюджета Палехского муниципального района (главных администраторов источников внутреннего финансирования дефицита бюджета Палехского муниципального района) на 2011г,</w:t>
      </w:r>
      <w:r w:rsidR="00042E47">
        <w:rPr>
          <w:sz w:val="28"/>
          <w:szCs w:val="28"/>
        </w:rPr>
        <w:t xml:space="preserve"> </w:t>
      </w:r>
      <w:r w:rsidRPr="00F92036">
        <w:rPr>
          <w:sz w:val="28"/>
          <w:szCs w:val="28"/>
        </w:rPr>
        <w:t>утвержденный приказом по финансовому отделу администрации Палехского муниципального района от 17.02.2011г № 10:</w:t>
      </w:r>
    </w:p>
    <w:p w:rsidR="00A909F3" w:rsidRPr="00F92036" w:rsidRDefault="00042E47" w:rsidP="00042E47">
      <w:pPr>
        <w:pStyle w:val="a6"/>
        <w:tabs>
          <w:tab w:val="left" w:pos="37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F92036">
        <w:rPr>
          <w:sz w:val="28"/>
          <w:szCs w:val="28"/>
        </w:rPr>
        <w:t xml:space="preserve">.  </w:t>
      </w:r>
      <w:proofErr w:type="gramStart"/>
      <w:r w:rsidR="00F92036">
        <w:rPr>
          <w:sz w:val="28"/>
          <w:szCs w:val="28"/>
        </w:rPr>
        <w:t>Д</w:t>
      </w:r>
      <w:r w:rsidR="00A909F3" w:rsidRPr="00F92036">
        <w:rPr>
          <w:sz w:val="28"/>
          <w:szCs w:val="28"/>
        </w:rPr>
        <w:t xml:space="preserve">ополнить приложение №12 «Перечень уникальных кодов целевых статей расходов по </w:t>
      </w:r>
      <w:r w:rsidR="005D0A0E" w:rsidRPr="00F92036">
        <w:rPr>
          <w:sz w:val="28"/>
          <w:szCs w:val="28"/>
        </w:rPr>
        <w:t xml:space="preserve">видам </w:t>
      </w:r>
      <w:r w:rsidR="00A909F3" w:rsidRPr="00F92036">
        <w:rPr>
          <w:sz w:val="28"/>
          <w:szCs w:val="28"/>
        </w:rPr>
        <w:t>межбюджетны</w:t>
      </w:r>
      <w:r w:rsidR="005D0A0E" w:rsidRPr="00F92036">
        <w:rPr>
          <w:sz w:val="28"/>
          <w:szCs w:val="28"/>
        </w:rPr>
        <w:t>х трансфертов, предоставляемых бюджету муниципального района из областного бюджета в виде субсидий</w:t>
      </w:r>
      <w:r>
        <w:rPr>
          <w:sz w:val="28"/>
          <w:szCs w:val="28"/>
        </w:rPr>
        <w:t xml:space="preserve"> </w:t>
      </w:r>
      <w:r w:rsidR="005D0A0E" w:rsidRPr="00F92036">
        <w:rPr>
          <w:sz w:val="28"/>
          <w:szCs w:val="28"/>
        </w:rPr>
        <w:t xml:space="preserve">(субвенций)» к Порядку составления и ведения сводной бюджетной росписи бюджета Палехского муниципального района (главных администраторов источников внутреннего финансирования </w:t>
      </w:r>
      <w:r w:rsidR="00C03952" w:rsidRPr="00F92036">
        <w:rPr>
          <w:sz w:val="28"/>
          <w:szCs w:val="28"/>
        </w:rPr>
        <w:t>дефицита бюджета Палехского муниципального района)</w:t>
      </w:r>
      <w:r>
        <w:rPr>
          <w:sz w:val="28"/>
          <w:szCs w:val="28"/>
        </w:rPr>
        <w:t xml:space="preserve"> </w:t>
      </w:r>
      <w:r w:rsidR="005D0A0E" w:rsidRPr="00F92036">
        <w:rPr>
          <w:sz w:val="28"/>
          <w:szCs w:val="28"/>
        </w:rPr>
        <w:t xml:space="preserve"> </w:t>
      </w:r>
      <w:r w:rsidR="00C03952" w:rsidRPr="00F92036">
        <w:rPr>
          <w:sz w:val="28"/>
          <w:szCs w:val="28"/>
        </w:rPr>
        <w:t>на 2011</w:t>
      </w:r>
      <w:r>
        <w:rPr>
          <w:sz w:val="28"/>
          <w:szCs w:val="28"/>
        </w:rPr>
        <w:t xml:space="preserve"> </w:t>
      </w:r>
      <w:r w:rsidR="00C03952" w:rsidRPr="00F92036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="00C03952" w:rsidRPr="00F92036">
        <w:rPr>
          <w:sz w:val="28"/>
          <w:szCs w:val="28"/>
        </w:rPr>
        <w:t xml:space="preserve"> </w:t>
      </w:r>
      <w:r w:rsidR="00C03952" w:rsidRPr="00F92036">
        <w:rPr>
          <w:sz w:val="28"/>
          <w:szCs w:val="28"/>
        </w:rPr>
        <w:lastRenderedPageBreak/>
        <w:t xml:space="preserve">утвержденного приказом </w:t>
      </w:r>
      <w:r>
        <w:rPr>
          <w:sz w:val="28"/>
          <w:szCs w:val="28"/>
        </w:rPr>
        <w:t xml:space="preserve"> ф</w:t>
      </w:r>
      <w:r w:rsidR="00C03952" w:rsidRPr="00F92036">
        <w:rPr>
          <w:sz w:val="28"/>
          <w:szCs w:val="28"/>
        </w:rPr>
        <w:t>инансово</w:t>
      </w:r>
      <w:r>
        <w:rPr>
          <w:sz w:val="28"/>
          <w:szCs w:val="28"/>
        </w:rPr>
        <w:t>го</w:t>
      </w:r>
      <w:r w:rsidR="00C03952" w:rsidRPr="00F9203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C03952" w:rsidRPr="00F92036">
        <w:rPr>
          <w:sz w:val="28"/>
          <w:szCs w:val="28"/>
        </w:rPr>
        <w:t xml:space="preserve"> администрации Палехского муниципального района</w:t>
      </w:r>
      <w:r>
        <w:rPr>
          <w:sz w:val="28"/>
          <w:szCs w:val="28"/>
        </w:rPr>
        <w:t xml:space="preserve"> </w:t>
      </w:r>
      <w:r w:rsidR="00C03952" w:rsidRPr="00F92036">
        <w:rPr>
          <w:sz w:val="28"/>
          <w:szCs w:val="28"/>
        </w:rPr>
        <w:t xml:space="preserve"> от 17.02.2011г</w:t>
      </w:r>
      <w:proofErr w:type="gramEnd"/>
      <w:r>
        <w:rPr>
          <w:sz w:val="28"/>
          <w:szCs w:val="28"/>
        </w:rPr>
        <w:t>.</w:t>
      </w:r>
      <w:r w:rsidR="00C03952" w:rsidRPr="00F920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="00C03952" w:rsidRPr="00F92036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</w:t>
      </w:r>
      <w:r w:rsidR="00C03952" w:rsidRPr="00F92036">
        <w:rPr>
          <w:sz w:val="28"/>
          <w:szCs w:val="28"/>
        </w:rPr>
        <w:t>следующими кодами целевых статей:</w:t>
      </w:r>
    </w:p>
    <w:tbl>
      <w:tblPr>
        <w:tblStyle w:val="a5"/>
        <w:tblW w:w="0" w:type="auto"/>
        <w:tblLook w:val="04A0"/>
      </w:tblPr>
      <w:tblGrid>
        <w:gridCol w:w="1860"/>
        <w:gridCol w:w="7427"/>
      </w:tblGrid>
      <w:tr w:rsidR="00C03952" w:rsidRPr="00F92036" w:rsidTr="00C03952">
        <w:tc>
          <w:tcPr>
            <w:tcW w:w="1951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5201800</w:t>
            </w:r>
          </w:p>
        </w:tc>
        <w:tc>
          <w:tcPr>
            <w:tcW w:w="8073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03952" w:rsidRPr="00F92036" w:rsidTr="00C03952">
        <w:tc>
          <w:tcPr>
            <w:tcW w:w="1951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4362100</w:t>
            </w:r>
          </w:p>
        </w:tc>
        <w:tc>
          <w:tcPr>
            <w:tcW w:w="8073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 xml:space="preserve">Модернизация региональных систем общего образования </w:t>
            </w:r>
          </w:p>
        </w:tc>
      </w:tr>
      <w:tr w:rsidR="00C03952" w:rsidRPr="00F92036" w:rsidTr="00C03952">
        <w:tc>
          <w:tcPr>
            <w:tcW w:w="1951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5200900</w:t>
            </w:r>
          </w:p>
        </w:tc>
        <w:tc>
          <w:tcPr>
            <w:tcW w:w="8073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Ежемесячное денежное вознаграждение за классное руководство</w:t>
            </w:r>
          </w:p>
        </w:tc>
      </w:tr>
      <w:tr w:rsidR="00C03952" w:rsidRPr="00F92036" w:rsidTr="00C03952">
        <w:tc>
          <w:tcPr>
            <w:tcW w:w="1951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5220200</w:t>
            </w:r>
          </w:p>
        </w:tc>
        <w:tc>
          <w:tcPr>
            <w:tcW w:w="8073" w:type="dxa"/>
          </w:tcPr>
          <w:p w:rsidR="00C03952" w:rsidRPr="00F92036" w:rsidRDefault="00C03952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Региональные целевые программы.</w:t>
            </w:r>
            <w:r w:rsidR="00FC48A8" w:rsidRPr="00F92036">
              <w:rPr>
                <w:sz w:val="28"/>
                <w:szCs w:val="28"/>
              </w:rPr>
              <w:t xml:space="preserve"> Долгосрочная целевая программа «Развитие общего образования Ивановской области на 2009-2011гг»</w:t>
            </w:r>
          </w:p>
        </w:tc>
      </w:tr>
      <w:tr w:rsidR="00C03952" w:rsidRPr="00F92036" w:rsidTr="00C03952">
        <w:tc>
          <w:tcPr>
            <w:tcW w:w="1951" w:type="dxa"/>
          </w:tcPr>
          <w:p w:rsidR="00C03952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4320217</w:t>
            </w:r>
          </w:p>
        </w:tc>
        <w:tc>
          <w:tcPr>
            <w:tcW w:w="8073" w:type="dxa"/>
          </w:tcPr>
          <w:p w:rsidR="00C03952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Организация двухразового питания в лагерях дневного пребывания детей-сирот и детей, находящихся в трудной жизненной ситуации</w:t>
            </w:r>
          </w:p>
        </w:tc>
      </w:tr>
      <w:tr w:rsidR="00FC48A8" w:rsidRPr="00F92036" w:rsidTr="00C03952">
        <w:tc>
          <w:tcPr>
            <w:tcW w:w="1951" w:type="dxa"/>
          </w:tcPr>
          <w:p w:rsidR="00FC48A8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5210136</w:t>
            </w:r>
          </w:p>
        </w:tc>
        <w:tc>
          <w:tcPr>
            <w:tcW w:w="8073" w:type="dxa"/>
          </w:tcPr>
          <w:p w:rsidR="00FC48A8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</w:t>
            </w:r>
          </w:p>
        </w:tc>
      </w:tr>
      <w:tr w:rsidR="00FC48A8" w:rsidRPr="00F92036" w:rsidTr="00C03952">
        <w:tc>
          <w:tcPr>
            <w:tcW w:w="1951" w:type="dxa"/>
          </w:tcPr>
          <w:p w:rsidR="00FC48A8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5220600</w:t>
            </w:r>
          </w:p>
        </w:tc>
        <w:tc>
          <w:tcPr>
            <w:tcW w:w="8073" w:type="dxa"/>
          </w:tcPr>
          <w:p w:rsidR="00FC48A8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Региональные целевые программы. Долгосрочная целевая программа Ивановской области по выравниванию обеспеченности населения Ивановской области объектами социальной и инженерной инфраструктуры</w:t>
            </w:r>
          </w:p>
        </w:tc>
      </w:tr>
      <w:tr w:rsidR="00FC48A8" w:rsidRPr="00F92036" w:rsidTr="00C03952">
        <w:tc>
          <w:tcPr>
            <w:tcW w:w="1951" w:type="dxa"/>
          </w:tcPr>
          <w:p w:rsidR="00FC48A8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5221101</w:t>
            </w:r>
          </w:p>
        </w:tc>
        <w:tc>
          <w:tcPr>
            <w:tcW w:w="8073" w:type="dxa"/>
          </w:tcPr>
          <w:p w:rsidR="00FC48A8" w:rsidRPr="00F92036" w:rsidRDefault="00FC48A8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Субсидии бюджетам муниципальных районов на реализацию подпрограммы «Государственная поддержка граждан в сфере ипотечного жилищного кредитования» долгосрочной целевой программы «Жилище» на 2011-2015годы</w:t>
            </w:r>
          </w:p>
        </w:tc>
      </w:tr>
      <w:tr w:rsidR="00FC48A8" w:rsidRPr="00F92036" w:rsidTr="00C03952">
        <w:tc>
          <w:tcPr>
            <w:tcW w:w="1951" w:type="dxa"/>
          </w:tcPr>
          <w:p w:rsidR="00FC48A8" w:rsidRPr="00F92036" w:rsidRDefault="00157F43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5221103</w:t>
            </w:r>
          </w:p>
        </w:tc>
        <w:tc>
          <w:tcPr>
            <w:tcW w:w="8073" w:type="dxa"/>
          </w:tcPr>
          <w:p w:rsidR="00FC48A8" w:rsidRPr="00F92036" w:rsidRDefault="00157F43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Долгосрочная целевая программа «Жилище» на 2011-2015ггподпрограмма «Обеспечение жильем молодых семей»</w:t>
            </w:r>
          </w:p>
        </w:tc>
      </w:tr>
      <w:tr w:rsidR="00FC48A8" w:rsidRPr="00F92036" w:rsidTr="00C03952">
        <w:tc>
          <w:tcPr>
            <w:tcW w:w="1951" w:type="dxa"/>
          </w:tcPr>
          <w:p w:rsidR="00FC48A8" w:rsidRPr="00F92036" w:rsidRDefault="00672DA4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4200102</w:t>
            </w:r>
          </w:p>
        </w:tc>
        <w:tc>
          <w:tcPr>
            <w:tcW w:w="8073" w:type="dxa"/>
          </w:tcPr>
          <w:p w:rsidR="00FC48A8" w:rsidRPr="00F92036" w:rsidRDefault="00672DA4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Субсидии бюджетам муниципальных образований Ивановской области на реализацию комплексных программ поддержки развития дошкольных образовательных учреждений в субъектах Российской Федерации. Долгосрочная целевая программа Ивановской области «Развитие образования Ивановской области на 2009-2015 годы»</w:t>
            </w:r>
          </w:p>
        </w:tc>
      </w:tr>
    </w:tbl>
    <w:p w:rsidR="00C03952" w:rsidRPr="00F92036" w:rsidRDefault="00C03952" w:rsidP="009B0F13">
      <w:pPr>
        <w:tabs>
          <w:tab w:val="left" w:pos="3705"/>
        </w:tabs>
        <w:rPr>
          <w:sz w:val="28"/>
          <w:szCs w:val="28"/>
        </w:rPr>
      </w:pPr>
    </w:p>
    <w:p w:rsidR="00945043" w:rsidRPr="00F92036" w:rsidRDefault="00042E47" w:rsidP="00676AB7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043" w:rsidRPr="00F92036">
        <w:rPr>
          <w:sz w:val="28"/>
          <w:szCs w:val="28"/>
        </w:rPr>
        <w:t>2.</w:t>
      </w:r>
      <w:r w:rsidR="00F92036">
        <w:rPr>
          <w:sz w:val="28"/>
          <w:szCs w:val="28"/>
        </w:rPr>
        <w:t xml:space="preserve"> Д</w:t>
      </w:r>
      <w:r w:rsidR="00945043" w:rsidRPr="00F92036">
        <w:rPr>
          <w:sz w:val="28"/>
          <w:szCs w:val="28"/>
        </w:rPr>
        <w:t xml:space="preserve">ополнить Приложение №13 «Перечень дополнительных кодов, присваиваемых </w:t>
      </w:r>
      <w:r w:rsidR="00A6071F" w:rsidRPr="00F92036">
        <w:rPr>
          <w:sz w:val="28"/>
          <w:szCs w:val="28"/>
        </w:rPr>
        <w:t>Федеральным казначейством в 2011г по видам межбюджетных трансфертов, имеющим целевое назначение, предоставляемым из федерального бюджета бюджету муниципального района в виде субсидий, субвенций и иных межбюджетных трансфертов»</w:t>
      </w:r>
    </w:p>
    <w:tbl>
      <w:tblPr>
        <w:tblStyle w:val="a5"/>
        <w:tblW w:w="0" w:type="auto"/>
        <w:tblLook w:val="04A0"/>
      </w:tblPr>
      <w:tblGrid>
        <w:gridCol w:w="1054"/>
        <w:gridCol w:w="8233"/>
      </w:tblGrid>
      <w:tr w:rsidR="00A6071F" w:rsidRPr="00F92036" w:rsidTr="00F4470E">
        <w:tc>
          <w:tcPr>
            <w:tcW w:w="1101" w:type="dxa"/>
          </w:tcPr>
          <w:p w:rsidR="00A6071F" w:rsidRPr="00F92036" w:rsidRDefault="00F4470E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051</w:t>
            </w:r>
          </w:p>
        </w:tc>
        <w:tc>
          <w:tcPr>
            <w:tcW w:w="8923" w:type="dxa"/>
          </w:tcPr>
          <w:p w:rsidR="00A6071F" w:rsidRPr="00F92036" w:rsidRDefault="00F4470E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 xml:space="preserve">Субсидии бюджетам субъектов Российской Федерации и </w:t>
            </w:r>
            <w:r w:rsidRPr="00F92036">
              <w:rPr>
                <w:sz w:val="28"/>
                <w:szCs w:val="28"/>
              </w:rPr>
              <w:lastRenderedPageBreak/>
              <w:t>муниципальных образований на ежемесячное денежное вознаграждение за классное руководство</w:t>
            </w:r>
          </w:p>
        </w:tc>
      </w:tr>
      <w:tr w:rsidR="00A6071F" w:rsidRPr="00F92036" w:rsidTr="00F4470E">
        <w:tc>
          <w:tcPr>
            <w:tcW w:w="1101" w:type="dxa"/>
          </w:tcPr>
          <w:p w:rsidR="00A6071F" w:rsidRPr="00F92036" w:rsidRDefault="00F4470E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lastRenderedPageBreak/>
              <w:t>058</w:t>
            </w:r>
          </w:p>
        </w:tc>
        <w:tc>
          <w:tcPr>
            <w:tcW w:w="8923" w:type="dxa"/>
          </w:tcPr>
          <w:p w:rsidR="00A6071F" w:rsidRPr="00F92036" w:rsidRDefault="00F4470E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 xml:space="preserve">Субсидии бюджетам субъектов Российской Федерации и муниципальных образований на модернизацию региональных систем общего образования </w:t>
            </w:r>
          </w:p>
        </w:tc>
      </w:tr>
      <w:tr w:rsidR="00A6071F" w:rsidRPr="00F92036" w:rsidTr="00F4470E">
        <w:tc>
          <w:tcPr>
            <w:tcW w:w="1101" w:type="dxa"/>
          </w:tcPr>
          <w:p w:rsidR="00A6071F" w:rsidRPr="00F92036" w:rsidRDefault="00F4470E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150</w:t>
            </w:r>
          </w:p>
        </w:tc>
        <w:tc>
          <w:tcPr>
            <w:tcW w:w="8923" w:type="dxa"/>
          </w:tcPr>
          <w:p w:rsidR="00A6071F" w:rsidRPr="00F92036" w:rsidRDefault="00F4470E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на оздоровление детей</w:t>
            </w:r>
          </w:p>
        </w:tc>
      </w:tr>
    </w:tbl>
    <w:p w:rsidR="00A6071F" w:rsidRPr="00F92036" w:rsidRDefault="00A6071F" w:rsidP="009B0F13">
      <w:pPr>
        <w:tabs>
          <w:tab w:val="left" w:pos="3705"/>
        </w:tabs>
        <w:rPr>
          <w:sz w:val="28"/>
          <w:szCs w:val="28"/>
        </w:rPr>
      </w:pPr>
    </w:p>
    <w:p w:rsidR="000801DB" w:rsidRPr="00F92036" w:rsidRDefault="00042E47" w:rsidP="00676AB7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1DB" w:rsidRPr="00F92036">
        <w:rPr>
          <w:sz w:val="28"/>
          <w:szCs w:val="28"/>
        </w:rPr>
        <w:t>3.</w:t>
      </w:r>
      <w:r w:rsidR="00F92036">
        <w:rPr>
          <w:sz w:val="28"/>
          <w:szCs w:val="28"/>
        </w:rPr>
        <w:t>В</w:t>
      </w:r>
      <w:r w:rsidR="00676AB7" w:rsidRPr="00F92036">
        <w:rPr>
          <w:sz w:val="28"/>
          <w:szCs w:val="28"/>
        </w:rPr>
        <w:t xml:space="preserve">вести </w:t>
      </w:r>
      <w:r w:rsidR="000801DB" w:rsidRPr="00F92036">
        <w:rPr>
          <w:sz w:val="28"/>
          <w:szCs w:val="28"/>
        </w:rPr>
        <w:t>Приложение №14 «Перечень уникальных кодов видов расходов по видам межбюджетных трансфертов, предоставляемых бюджету муниципального района из областного бюджета в виде субсидий (субвенций)</w:t>
      </w:r>
      <w:r w:rsidR="00F92036">
        <w:rPr>
          <w:sz w:val="28"/>
          <w:szCs w:val="28"/>
        </w:rPr>
        <w:t>»</w:t>
      </w:r>
      <w:r w:rsidR="000801DB" w:rsidRPr="00F92036">
        <w:rPr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307"/>
        <w:gridCol w:w="7980"/>
      </w:tblGrid>
      <w:tr w:rsidR="000801DB" w:rsidRPr="00F92036" w:rsidTr="000801DB">
        <w:tc>
          <w:tcPr>
            <w:tcW w:w="1384" w:type="dxa"/>
          </w:tcPr>
          <w:p w:rsidR="000801DB" w:rsidRPr="00F92036" w:rsidRDefault="000801DB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741</w:t>
            </w:r>
          </w:p>
        </w:tc>
        <w:tc>
          <w:tcPr>
            <w:tcW w:w="8640" w:type="dxa"/>
          </w:tcPr>
          <w:p w:rsidR="000801DB" w:rsidRPr="00F92036" w:rsidRDefault="000801DB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Субсидии бюджетам муниципальных</w:t>
            </w:r>
            <w:r w:rsidR="00672DA4" w:rsidRPr="00F92036">
              <w:rPr>
                <w:sz w:val="28"/>
                <w:szCs w:val="28"/>
              </w:rPr>
              <w:t xml:space="preserve"> образований Ивановской области на укрепление пожарной безопасности муниципальных образовательных учреждений</w:t>
            </w:r>
          </w:p>
        </w:tc>
      </w:tr>
      <w:tr w:rsidR="000801DB" w:rsidRPr="00F92036" w:rsidTr="000801DB">
        <w:tc>
          <w:tcPr>
            <w:tcW w:w="1384" w:type="dxa"/>
          </w:tcPr>
          <w:p w:rsidR="000801DB" w:rsidRPr="00F92036" w:rsidRDefault="000801DB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>886</w:t>
            </w:r>
          </w:p>
        </w:tc>
        <w:tc>
          <w:tcPr>
            <w:tcW w:w="8640" w:type="dxa"/>
          </w:tcPr>
          <w:p w:rsidR="000801DB" w:rsidRPr="00F92036" w:rsidRDefault="00672DA4" w:rsidP="009B0F13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F92036">
              <w:rPr>
                <w:sz w:val="28"/>
                <w:szCs w:val="28"/>
              </w:rPr>
              <w:t xml:space="preserve">Отдых и оздоровление детей за счет средств областного бюджета </w:t>
            </w:r>
          </w:p>
        </w:tc>
      </w:tr>
    </w:tbl>
    <w:p w:rsidR="000801DB" w:rsidRPr="00F92036" w:rsidRDefault="000801DB" w:rsidP="009B0F13">
      <w:pPr>
        <w:tabs>
          <w:tab w:val="left" w:pos="3705"/>
        </w:tabs>
        <w:rPr>
          <w:sz w:val="28"/>
          <w:szCs w:val="28"/>
        </w:rPr>
      </w:pPr>
    </w:p>
    <w:p w:rsidR="000801DB" w:rsidRPr="00F92036" w:rsidRDefault="000801DB" w:rsidP="009B0F13">
      <w:pPr>
        <w:tabs>
          <w:tab w:val="left" w:pos="3705"/>
        </w:tabs>
        <w:rPr>
          <w:sz w:val="28"/>
          <w:szCs w:val="28"/>
        </w:rPr>
      </w:pPr>
    </w:p>
    <w:p w:rsidR="00676AB7" w:rsidRPr="00F92036" w:rsidRDefault="00676AB7" w:rsidP="009B0F13">
      <w:pPr>
        <w:tabs>
          <w:tab w:val="left" w:pos="3705"/>
        </w:tabs>
        <w:rPr>
          <w:sz w:val="28"/>
          <w:szCs w:val="28"/>
        </w:rPr>
      </w:pPr>
    </w:p>
    <w:p w:rsidR="00676AB7" w:rsidRPr="00F92036" w:rsidRDefault="00676AB7" w:rsidP="009B0F13">
      <w:pPr>
        <w:tabs>
          <w:tab w:val="left" w:pos="3705"/>
        </w:tabs>
        <w:rPr>
          <w:sz w:val="28"/>
          <w:szCs w:val="28"/>
        </w:rPr>
      </w:pPr>
      <w:r w:rsidRPr="00F92036">
        <w:rPr>
          <w:sz w:val="28"/>
          <w:szCs w:val="28"/>
        </w:rPr>
        <w:t xml:space="preserve">Начальник </w:t>
      </w:r>
    </w:p>
    <w:p w:rsidR="00F92036" w:rsidRDefault="00676AB7" w:rsidP="009B0F13">
      <w:pPr>
        <w:tabs>
          <w:tab w:val="left" w:pos="3705"/>
        </w:tabs>
        <w:rPr>
          <w:sz w:val="28"/>
          <w:szCs w:val="28"/>
        </w:rPr>
      </w:pPr>
      <w:r w:rsidRPr="00F92036">
        <w:rPr>
          <w:sz w:val="28"/>
          <w:szCs w:val="28"/>
        </w:rPr>
        <w:t>финансового отдела</w:t>
      </w:r>
      <w:r w:rsidR="00F92036">
        <w:rPr>
          <w:sz w:val="28"/>
          <w:szCs w:val="28"/>
        </w:rPr>
        <w:t xml:space="preserve"> администрации</w:t>
      </w:r>
    </w:p>
    <w:p w:rsidR="00676AB7" w:rsidRPr="00F92036" w:rsidRDefault="00F92036" w:rsidP="009B0F1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Палехского муниципального района </w:t>
      </w:r>
      <w:r w:rsidR="00676AB7" w:rsidRPr="00F92036">
        <w:rPr>
          <w:sz w:val="28"/>
          <w:szCs w:val="28"/>
        </w:rPr>
        <w:t xml:space="preserve">:                                    Л.А. </w:t>
      </w:r>
      <w:proofErr w:type="spellStart"/>
      <w:r w:rsidR="00676AB7" w:rsidRPr="00F92036">
        <w:rPr>
          <w:sz w:val="28"/>
          <w:szCs w:val="28"/>
        </w:rPr>
        <w:t>Молчагина</w:t>
      </w:r>
      <w:proofErr w:type="spellEnd"/>
    </w:p>
    <w:sectPr w:rsidR="00676AB7" w:rsidRPr="00F92036" w:rsidSect="00F920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5FC"/>
    <w:multiLevelType w:val="hybridMultilevel"/>
    <w:tmpl w:val="A88C9662"/>
    <w:lvl w:ilvl="0" w:tplc="EF344F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8B"/>
    <w:rsid w:val="00042E47"/>
    <w:rsid w:val="000801DB"/>
    <w:rsid w:val="00100A28"/>
    <w:rsid w:val="00114919"/>
    <w:rsid w:val="0012771A"/>
    <w:rsid w:val="00157F43"/>
    <w:rsid w:val="00160B45"/>
    <w:rsid w:val="00183FDF"/>
    <w:rsid w:val="00295CAE"/>
    <w:rsid w:val="002A077C"/>
    <w:rsid w:val="002F4A8B"/>
    <w:rsid w:val="003E18FE"/>
    <w:rsid w:val="0040437E"/>
    <w:rsid w:val="004D75F2"/>
    <w:rsid w:val="004F6CA3"/>
    <w:rsid w:val="00521DC9"/>
    <w:rsid w:val="005D0A0E"/>
    <w:rsid w:val="005F3822"/>
    <w:rsid w:val="00672DA4"/>
    <w:rsid w:val="00676AB7"/>
    <w:rsid w:val="006B09C4"/>
    <w:rsid w:val="00751EC7"/>
    <w:rsid w:val="007569AB"/>
    <w:rsid w:val="0077451B"/>
    <w:rsid w:val="00860C18"/>
    <w:rsid w:val="00945043"/>
    <w:rsid w:val="00950695"/>
    <w:rsid w:val="00986682"/>
    <w:rsid w:val="009B0F13"/>
    <w:rsid w:val="009F3B69"/>
    <w:rsid w:val="00A6071F"/>
    <w:rsid w:val="00A908E5"/>
    <w:rsid w:val="00A909F3"/>
    <w:rsid w:val="00B60C0B"/>
    <w:rsid w:val="00C03952"/>
    <w:rsid w:val="00C41E39"/>
    <w:rsid w:val="00CE0477"/>
    <w:rsid w:val="00D14748"/>
    <w:rsid w:val="00D40F42"/>
    <w:rsid w:val="00D502D5"/>
    <w:rsid w:val="00DA0200"/>
    <w:rsid w:val="00DD1FA8"/>
    <w:rsid w:val="00E70BBB"/>
    <w:rsid w:val="00EE483B"/>
    <w:rsid w:val="00F2221D"/>
    <w:rsid w:val="00F4470E"/>
    <w:rsid w:val="00F92036"/>
    <w:rsid w:val="00FC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8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0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2011-10-05T07:46:00Z</cp:lastPrinted>
  <dcterms:created xsi:type="dcterms:W3CDTF">2011-10-03T09:10:00Z</dcterms:created>
  <dcterms:modified xsi:type="dcterms:W3CDTF">2011-10-05T07:47:00Z</dcterms:modified>
</cp:coreProperties>
</file>